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711ED">
        <w:rPr>
          <w:sz w:val="28"/>
        </w:rPr>
        <w:t>B</w:t>
      </w:r>
      <w:r w:rsidR="002E081C">
        <w:rPr>
          <w:sz w:val="28"/>
        </w:rPr>
        <w:t>utter</w:t>
      </w:r>
    </w:p>
    <w:p w:rsidR="00694A63" w:rsidRPr="00694A63" w:rsidRDefault="00694A63">
      <w:pPr>
        <w:pStyle w:val="IQB-Teilaufgabentitel"/>
        <w:rPr>
          <w:b/>
        </w:rPr>
      </w:pPr>
      <w:r w:rsidRPr="00694A63">
        <w:rPr>
          <w:b/>
        </w:rPr>
        <w:t>Merkmale</w:t>
      </w:r>
      <w:bookmarkStart w:id="0" w:name="_GoBack"/>
      <w:bookmarkEnd w:id="0"/>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2E081C" w:rsidTr="002E081C">
        <w:tc>
          <w:tcPr>
            <w:tcW w:w="2466" w:type="dxa"/>
            <w:tcBorders>
              <w:top w:val="single" w:sz="4" w:space="0" w:color="auto"/>
            </w:tcBorders>
            <w:vAlign w:val="center"/>
          </w:tcPr>
          <w:p w:rsidR="002E081C" w:rsidRDefault="002E081C" w:rsidP="009F4315">
            <w:pPr>
              <w:pStyle w:val="IQB-Merkmal"/>
            </w:pPr>
            <w:r>
              <w:t>Leitidee</w:t>
            </w:r>
          </w:p>
        </w:tc>
        <w:tc>
          <w:tcPr>
            <w:tcW w:w="6604" w:type="dxa"/>
            <w:tcBorders>
              <w:top w:val="single" w:sz="4" w:space="0" w:color="auto"/>
            </w:tcBorders>
          </w:tcPr>
          <w:p w:rsidR="002E081C" w:rsidRDefault="002E081C" w:rsidP="009F4315">
            <w:pPr>
              <w:pStyle w:val="IQB-Merkmalswert"/>
            </w:pPr>
            <w:r>
              <w:t>2. Messen</w:t>
            </w:r>
          </w:p>
        </w:tc>
      </w:tr>
      <w:tr w:rsidR="002E081C" w:rsidTr="002E081C">
        <w:tc>
          <w:tcPr>
            <w:tcW w:w="2466" w:type="dxa"/>
            <w:vAlign w:val="center"/>
          </w:tcPr>
          <w:p w:rsidR="002E081C" w:rsidRDefault="002E081C" w:rsidP="009F4315">
            <w:pPr>
              <w:pStyle w:val="IQB-Merkmal"/>
            </w:pPr>
            <w:r>
              <w:t>Allgemeine Kompetenz</w:t>
            </w:r>
          </w:p>
        </w:tc>
        <w:tc>
          <w:tcPr>
            <w:tcW w:w="6604" w:type="dxa"/>
          </w:tcPr>
          <w:p w:rsidR="002E081C" w:rsidRDefault="002E081C" w:rsidP="009F4315">
            <w:pPr>
              <w:pStyle w:val="IQB-Merkmalswert"/>
            </w:pPr>
            <w:r>
              <w:t>Mathematische Darstellungen verwenden (K4),</w:t>
            </w:r>
          </w:p>
          <w:p w:rsidR="002E081C" w:rsidRDefault="002E081C" w:rsidP="009F4315">
            <w:pPr>
              <w:pStyle w:val="IQB-Merkmalswert"/>
            </w:pPr>
            <w:r>
              <w:t>Mit Mathematik symbolisch/ formal/ technisch umgehen (K5)</w:t>
            </w:r>
          </w:p>
        </w:tc>
      </w:tr>
      <w:tr w:rsidR="002E081C" w:rsidTr="002E081C">
        <w:tc>
          <w:tcPr>
            <w:tcW w:w="2466" w:type="dxa"/>
            <w:vAlign w:val="center"/>
          </w:tcPr>
          <w:p w:rsidR="002E081C" w:rsidRDefault="002E081C" w:rsidP="009F4315">
            <w:pPr>
              <w:pStyle w:val="IQB-Merkmal"/>
            </w:pPr>
            <w:r>
              <w:t>Anforderungsbereich</w:t>
            </w:r>
          </w:p>
        </w:tc>
        <w:tc>
          <w:tcPr>
            <w:tcW w:w="6604" w:type="dxa"/>
          </w:tcPr>
          <w:p w:rsidR="002E081C" w:rsidRDefault="002E081C" w:rsidP="009F4315">
            <w:pPr>
              <w:pStyle w:val="IQB-Merkmalswert"/>
            </w:pPr>
            <w:r>
              <w:t>I</w:t>
            </w:r>
          </w:p>
        </w:tc>
      </w:tr>
      <w:tr w:rsidR="002E081C" w:rsidTr="002E081C">
        <w:tc>
          <w:tcPr>
            <w:tcW w:w="2466" w:type="dxa"/>
            <w:tcBorders>
              <w:bottom w:val="single" w:sz="4" w:space="0" w:color="auto"/>
            </w:tcBorders>
            <w:vAlign w:val="center"/>
          </w:tcPr>
          <w:p w:rsidR="002E081C" w:rsidRDefault="002E081C" w:rsidP="009F4315">
            <w:pPr>
              <w:pStyle w:val="IQB-Merkmal"/>
            </w:pPr>
            <w:r>
              <w:t>Kompetenzstufe</w:t>
            </w:r>
          </w:p>
        </w:tc>
        <w:tc>
          <w:tcPr>
            <w:tcW w:w="6604" w:type="dxa"/>
            <w:tcBorders>
              <w:bottom w:val="single" w:sz="4" w:space="0" w:color="auto"/>
            </w:tcBorders>
          </w:tcPr>
          <w:p w:rsidR="002E081C" w:rsidRDefault="002E081C" w:rsidP="009F4315">
            <w:pPr>
              <w:pStyle w:val="IQB-Merkmalswert"/>
            </w:pPr>
            <w:r>
              <w:t>1b</w:t>
            </w:r>
          </w:p>
        </w:tc>
      </w:tr>
    </w:tbl>
    <w:p w:rsidR="00694A63" w:rsidRPr="00694A63" w:rsidRDefault="00694A63" w:rsidP="00694A63">
      <w:pPr>
        <w:pStyle w:val="IQB-Teilaufgabentitel"/>
        <w:rPr>
          <w:b/>
        </w:rPr>
      </w:pPr>
      <w:r w:rsidRPr="00694A63">
        <w:rPr>
          <w:b/>
        </w:rPr>
        <w:t>Aufgabenbezogener Kommentar</w:t>
      </w:r>
    </w:p>
    <w:p w:rsidR="002E081C" w:rsidRPr="00C174AA" w:rsidRDefault="002E081C" w:rsidP="002E081C">
      <w:pPr>
        <w:pStyle w:val="IQB-Standard"/>
        <w:rPr>
          <w:sz w:val="22"/>
          <w:szCs w:val="22"/>
        </w:rPr>
      </w:pPr>
      <w:r w:rsidRPr="00C174AA">
        <w:rPr>
          <w:sz w:val="22"/>
          <w:szCs w:val="22"/>
        </w:rPr>
        <w:t>Diese Aufgabe gehört zur Leitidee Messen (L2), weil es hier um die Bestimmung von Länge und Masse geht.</w:t>
      </w:r>
    </w:p>
    <w:p w:rsidR="002E081C" w:rsidRPr="00C174AA" w:rsidRDefault="002E081C" w:rsidP="002E081C">
      <w:pPr>
        <w:pStyle w:val="IQB-Standard"/>
        <w:rPr>
          <w:sz w:val="22"/>
          <w:szCs w:val="22"/>
        </w:rPr>
      </w:pPr>
      <w:r w:rsidRPr="00C174AA">
        <w:rPr>
          <w:sz w:val="22"/>
          <w:szCs w:val="22"/>
        </w:rPr>
        <w:t xml:space="preserve">Die Schülerinnen und Schüler sollen anhand eines Fotos bestimmen, wie viel Masse von einem Stück Butter abgeteilt wurde. Sie können hierbei auf eine auf der Butterverpackung abgebildete Skala zurückgreifen, die mögliche Schnittstellen für Stücke zu je </w:t>
      </w:r>
      <w:smartTag w:uri="urn:schemas-microsoft-com:office:smarttags" w:element="metricconverter">
        <w:smartTagPr>
          <w:attr w:name="ProductID" w:val="50 g"/>
        </w:smartTagPr>
        <w:r w:rsidRPr="00C174AA">
          <w:rPr>
            <w:sz w:val="22"/>
            <w:szCs w:val="22"/>
          </w:rPr>
          <w:t>50</w:t>
        </w:r>
        <w:r>
          <w:rPr>
            <w:sz w:val="22"/>
            <w:szCs w:val="22"/>
          </w:rPr>
          <w:t xml:space="preserve"> </w:t>
        </w:r>
        <w:r w:rsidRPr="00C174AA">
          <w:rPr>
            <w:sz w:val="22"/>
            <w:szCs w:val="22"/>
          </w:rPr>
          <w:t>g</w:t>
        </w:r>
      </w:smartTag>
      <w:r w:rsidRPr="00C174AA">
        <w:rPr>
          <w:sz w:val="22"/>
          <w:szCs w:val="22"/>
        </w:rPr>
        <w:t xml:space="preserve"> markiert. Die Lernenden müssen auf dem Foto erkennen, dass ungefähr anderthalb Stücke zu je </w:t>
      </w:r>
      <w:smartTag w:uri="urn:schemas-microsoft-com:office:smarttags" w:element="metricconverter">
        <w:smartTagPr>
          <w:attr w:name="ProductID" w:val="50 g"/>
        </w:smartTagPr>
        <w:r w:rsidRPr="00C174AA">
          <w:rPr>
            <w:sz w:val="22"/>
            <w:szCs w:val="22"/>
          </w:rPr>
          <w:t>50</w:t>
        </w:r>
        <w:r>
          <w:rPr>
            <w:sz w:val="22"/>
            <w:szCs w:val="22"/>
          </w:rPr>
          <w:t xml:space="preserve"> </w:t>
        </w:r>
        <w:r w:rsidRPr="00C174AA">
          <w:rPr>
            <w:sz w:val="22"/>
            <w:szCs w:val="22"/>
          </w:rPr>
          <w:t>g</w:t>
        </w:r>
      </w:smartTag>
      <w:r w:rsidRPr="00C174AA">
        <w:rPr>
          <w:sz w:val="22"/>
          <w:szCs w:val="22"/>
        </w:rPr>
        <w:t xml:space="preserve"> abgeschnitten wurden (K4). Hieraus lässt sich wiederum berechnen, dass die abgeschnittene Butter etwa </w:t>
      </w:r>
      <w:smartTag w:uri="urn:schemas-microsoft-com:office:smarttags" w:element="metricconverter">
        <w:smartTagPr>
          <w:attr w:name="ProductID" w:val="75 g"/>
        </w:smartTagPr>
        <w:r w:rsidRPr="00C174AA">
          <w:rPr>
            <w:sz w:val="22"/>
            <w:szCs w:val="22"/>
          </w:rPr>
          <w:t>75</w:t>
        </w:r>
        <w:r>
          <w:rPr>
            <w:sz w:val="22"/>
            <w:szCs w:val="22"/>
          </w:rPr>
          <w:t xml:space="preserve"> </w:t>
        </w:r>
        <w:r w:rsidRPr="00C174AA">
          <w:rPr>
            <w:sz w:val="22"/>
            <w:szCs w:val="22"/>
          </w:rPr>
          <w:t>g</w:t>
        </w:r>
      </w:smartTag>
      <w:r w:rsidRPr="00C174AA">
        <w:rPr>
          <w:sz w:val="22"/>
          <w:szCs w:val="22"/>
        </w:rPr>
        <w:t xml:space="preserve"> wiegen muss (K5).</w:t>
      </w:r>
    </w:p>
    <w:p w:rsidR="002E081C" w:rsidRPr="00C174AA" w:rsidRDefault="002E081C" w:rsidP="002E081C">
      <w:pPr>
        <w:pStyle w:val="IQB-Standard"/>
        <w:rPr>
          <w:sz w:val="22"/>
          <w:szCs w:val="22"/>
        </w:rPr>
      </w:pPr>
      <w:r w:rsidRPr="00C174AA">
        <w:rPr>
          <w:sz w:val="22"/>
          <w:szCs w:val="22"/>
        </w:rPr>
        <w:t>Weil die benötigten Informationen sich direkt aus der Abbildung ablesen lassen und nur einfache Routinerechnungen durchgeführt werden müssen, handelt es sich hier um Anforderungsbereich I.</w:t>
      </w:r>
    </w:p>
    <w:p w:rsidR="00694A63" w:rsidRPr="00694A63" w:rsidRDefault="00694A63" w:rsidP="00694A63">
      <w:pPr>
        <w:pStyle w:val="IQB-Teilaufgabentitel"/>
        <w:rPr>
          <w:b/>
        </w:rPr>
      </w:pPr>
      <w:r w:rsidRPr="00694A63">
        <w:rPr>
          <w:b/>
        </w:rPr>
        <w:t>Anregungen für den Unterricht</w:t>
      </w:r>
    </w:p>
    <w:p w:rsidR="002E081C" w:rsidRPr="002E081C" w:rsidRDefault="002E081C" w:rsidP="002E081C">
      <w:pPr>
        <w:spacing w:before="60"/>
        <w:rPr>
          <w:rFonts w:ascii="Arial" w:hAnsi="Arial" w:cs="Arial"/>
          <w:sz w:val="22"/>
          <w:szCs w:val="22"/>
        </w:rPr>
      </w:pPr>
      <w:r w:rsidRPr="002E081C">
        <w:rPr>
          <w:rFonts w:ascii="Arial" w:hAnsi="Arial" w:cs="Arial"/>
          <w:sz w:val="22"/>
          <w:szCs w:val="22"/>
        </w:rPr>
        <w:t>Mathematisch betrachtet kann diese Aufgabe auf die graphische Darstellung von Brüchen als Anteile geometrischer Figuren zurückgeführt werden:</w:t>
      </w:r>
    </w:p>
    <w:p w:rsidR="002E081C" w:rsidRDefault="002E081C" w:rsidP="002E081C">
      <w:pPr>
        <w:tabs>
          <w:tab w:val="left" w:pos="5559"/>
        </w:tabs>
        <w:spacing w:before="60"/>
        <w:rPr>
          <w:sz w:val="22"/>
          <w:szCs w:val="22"/>
        </w:rPr>
      </w:pPr>
      <w:r w:rsidRPr="00D2488A">
        <w:rPr>
          <w:noProof/>
        </w:rPr>
        <w:drawing>
          <wp:inline distT="0" distB="0" distL="0" distR="0">
            <wp:extent cx="1741170" cy="930275"/>
            <wp:effectExtent l="0" t="0" r="0" b="317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1170" cy="930275"/>
                    </a:xfrm>
                    <a:prstGeom prst="rect">
                      <a:avLst/>
                    </a:prstGeom>
                    <a:noFill/>
                    <a:ln>
                      <a:noFill/>
                    </a:ln>
                  </pic:spPr>
                </pic:pic>
              </a:graphicData>
            </a:graphic>
          </wp:inline>
        </w:drawing>
      </w:r>
    </w:p>
    <w:p w:rsidR="002E081C" w:rsidRPr="002E081C" w:rsidRDefault="002E081C" w:rsidP="002E081C">
      <w:pPr>
        <w:tabs>
          <w:tab w:val="left" w:pos="5559"/>
        </w:tabs>
        <w:rPr>
          <w:rFonts w:ascii="Arial" w:hAnsi="Arial" w:cs="Arial"/>
          <w:szCs w:val="18"/>
        </w:rPr>
      </w:pPr>
      <w:r w:rsidRPr="002E081C">
        <w:rPr>
          <w:rFonts w:ascii="Arial" w:hAnsi="Arial" w:cs="Arial"/>
          <w:szCs w:val="18"/>
        </w:rPr>
        <w:t>Abbildung 1</w:t>
      </w:r>
    </w:p>
    <w:p w:rsidR="002E081C" w:rsidRDefault="002E081C" w:rsidP="002E081C">
      <w:pPr>
        <w:tabs>
          <w:tab w:val="left" w:pos="5559"/>
        </w:tabs>
        <w:rPr>
          <w:sz w:val="22"/>
          <w:szCs w:val="22"/>
        </w:rPr>
      </w:pPr>
    </w:p>
    <w:p w:rsidR="002E081C" w:rsidRDefault="002E081C" w:rsidP="002E081C">
      <w:pPr>
        <w:pStyle w:val="IQB-Standard"/>
        <w:rPr>
          <w:sz w:val="22"/>
          <w:szCs w:val="22"/>
        </w:rPr>
      </w:pPr>
      <w:r>
        <w:rPr>
          <w:noProof/>
        </w:rPr>
        <mc:AlternateContent>
          <mc:Choice Requires="wps">
            <w:drawing>
              <wp:anchor distT="0" distB="0" distL="114299" distR="114299" simplePos="0" relativeHeight="251659264" behindDoc="0" locked="0" layoutInCell="1" allowOverlap="1">
                <wp:simplePos x="0" y="0"/>
                <wp:positionH relativeFrom="column">
                  <wp:posOffset>-103505</wp:posOffset>
                </wp:positionH>
                <wp:positionV relativeFrom="paragraph">
                  <wp:posOffset>1188720</wp:posOffset>
                </wp:positionV>
                <wp:extent cx="1270" cy="2302510"/>
                <wp:effectExtent l="19050" t="0" r="55880" b="40640"/>
                <wp:wrapNone/>
                <wp:docPr id="38" name="Freihandform: Form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 cy="2302510"/>
                        </a:xfrm>
                        <a:custGeom>
                          <a:avLst/>
                          <a:gdLst>
                            <a:gd name="T0" fmla="*/ 0 w 2"/>
                            <a:gd name="T1" fmla="*/ 0 h 3626"/>
                            <a:gd name="T2" fmla="*/ 2 w 2"/>
                            <a:gd name="T3" fmla="*/ 3626 h 3626"/>
                          </a:gdLst>
                          <a:ahLst/>
                          <a:cxnLst>
                            <a:cxn ang="0">
                              <a:pos x="T0" y="T1"/>
                            </a:cxn>
                            <a:cxn ang="0">
                              <a:pos x="T2" y="T3"/>
                            </a:cxn>
                          </a:cxnLst>
                          <a:rect l="0" t="0" r="r" b="b"/>
                          <a:pathLst>
                            <a:path w="2" h="3626">
                              <a:moveTo>
                                <a:pt x="0" y="0"/>
                              </a:moveTo>
                              <a:lnTo>
                                <a:pt x="2" y="3626"/>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F72F11F" id="Freihandform: Form 38"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15pt,93.6pt,-8.05pt,274.9pt" coordsize="2,3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" filled="f" strokecolor="#bfbfbf" strokeweight="4.5pt">
                <v:path arrowok="t" o:connecttype="custom" o:connectlocs="0,0;1270,2302510" o:connectangles="0,0"/>
              </v:polyline>
            </w:pict>
          </mc:Fallback>
        </mc:AlternateContent>
      </w:r>
      <w:r w:rsidRPr="00C174AA">
        <w:rPr>
          <w:sz w:val="22"/>
          <w:szCs w:val="22"/>
        </w:rPr>
        <w:t>Im Unterricht dienen diese graphischen Darstellungen dazu, ein intuitives Verständnis von Brüchen als Teil eines Ganzen auszubilden. Der Reiz dieser speziellen Aufgabe besteht darin, diese Vorstellung mit realen Gegenständen zu verknüpfen. Es wird kein unterteiltes Rechteck oder ein unterteilter Kreis betrachtet, sondern eine Packung Butter, die man so in einem Supermarkt finden kann. Schokoladentafeln oder Stücke eines Fladenbrots können im Unterricht sowohl der Anschauung als auch der Motivation dienen. Auch das Rechnen mit Brüchen lässt sich auf diese Weise veranschaulichen: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1E0" w:firstRow="1" w:lastRow="1" w:firstColumn="1" w:lastColumn="1" w:noHBand="0" w:noVBand="0"/>
      </w:tblPr>
      <w:tblGrid>
        <w:gridCol w:w="8877"/>
      </w:tblGrid>
      <w:tr w:rsidR="002E081C" w:rsidRPr="00AA11AD" w:rsidTr="009F4315">
        <w:tc>
          <w:tcPr>
            <w:tcW w:w="8877" w:type="dxa"/>
            <w:vAlign w:val="center"/>
          </w:tcPr>
          <w:p w:rsidR="002E081C" w:rsidRPr="00AA11AD" w:rsidRDefault="002E081C" w:rsidP="002E081C">
            <w:pPr>
              <w:pStyle w:val="IQB-Standard"/>
              <w:rPr>
                <w:sz w:val="22"/>
                <w:szCs w:val="22"/>
              </w:rPr>
            </w:pPr>
            <w:r w:rsidRPr="00D2488A">
              <w:rPr>
                <w:noProof/>
              </w:rPr>
              <w:drawing>
                <wp:inline distT="0" distB="0" distL="0" distR="0">
                  <wp:extent cx="3418840" cy="205930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3"/>
                          <pic:cNvPicPr>
                            <a:picLocks noChangeAspect="1" noChangeArrowheads="1"/>
                          </pic:cNvPicPr>
                        </pic:nvPicPr>
                        <pic:blipFill>
                          <a:blip r:embed="rId9">
                            <a:extLst>
                              <a:ext uri="{28A0092B-C50C-407E-A947-70E740481C1C}">
                                <a14:useLocalDpi xmlns:a14="http://schemas.microsoft.com/office/drawing/2010/main" val="0"/>
                              </a:ext>
                            </a:extLst>
                          </a:blip>
                          <a:srcRect t="2173" b="5946"/>
                          <a:stretch>
                            <a:fillRect/>
                          </a:stretch>
                        </pic:blipFill>
                        <pic:spPr bwMode="auto">
                          <a:xfrm>
                            <a:off x="0" y="0"/>
                            <a:ext cx="3418840" cy="2059305"/>
                          </a:xfrm>
                          <a:prstGeom prst="rect">
                            <a:avLst/>
                          </a:prstGeom>
                          <a:noFill/>
                          <a:ln>
                            <a:noFill/>
                          </a:ln>
                        </pic:spPr>
                      </pic:pic>
                    </a:graphicData>
                  </a:graphic>
                </wp:inline>
              </w:drawing>
            </w:r>
          </w:p>
        </w:tc>
      </w:tr>
    </w:tbl>
    <w:p w:rsidR="002E081C" w:rsidRPr="002E081C" w:rsidRDefault="002E081C" w:rsidP="002E081C">
      <w:pPr>
        <w:tabs>
          <w:tab w:val="left" w:pos="5559"/>
        </w:tabs>
        <w:rPr>
          <w:rFonts w:ascii="Arial" w:hAnsi="Arial" w:cs="Arial"/>
          <w:szCs w:val="18"/>
        </w:rPr>
      </w:pPr>
      <w:r w:rsidRPr="002E081C">
        <w:rPr>
          <w:rFonts w:ascii="Arial" w:hAnsi="Arial" w:cs="Arial"/>
          <w:szCs w:val="18"/>
        </w:rPr>
        <w:t>Abbildung 2</w:t>
      </w:r>
    </w:p>
    <w:p w:rsidR="002E081C" w:rsidRDefault="002E081C" w:rsidP="002E081C">
      <w:pPr>
        <w:tabs>
          <w:tab w:val="left" w:pos="5559"/>
        </w:tabs>
        <w:rPr>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1E0" w:firstRow="1" w:lastRow="1" w:firstColumn="1" w:lastColumn="1" w:noHBand="0" w:noVBand="0"/>
      </w:tblPr>
      <w:tblGrid>
        <w:gridCol w:w="8877"/>
      </w:tblGrid>
      <w:tr w:rsidR="002E081C" w:rsidRPr="00AA11AD" w:rsidTr="009F4315">
        <w:tc>
          <w:tcPr>
            <w:tcW w:w="8877" w:type="dxa"/>
            <w:vAlign w:val="center"/>
          </w:tcPr>
          <w:p w:rsidR="002E081C" w:rsidRPr="00AA11AD" w:rsidRDefault="002E081C" w:rsidP="009F4315">
            <w:pPr>
              <w:tabs>
                <w:tab w:val="left" w:pos="5559"/>
              </w:tabs>
              <w:spacing w:before="60" w:after="60"/>
              <w:rPr>
                <w:sz w:val="22"/>
                <w:szCs w:val="22"/>
              </w:rPr>
            </w:pPr>
            <w:r>
              <w:rPr>
                <w:noProof/>
              </w:rPr>
              <mc:AlternateContent>
                <mc:Choice Requires="wps">
                  <w:drawing>
                    <wp:anchor distT="0" distB="0" distL="114299" distR="114299" simplePos="0" relativeHeight="251660288" behindDoc="0" locked="0" layoutInCell="1" allowOverlap="1">
                      <wp:simplePos x="0" y="0"/>
                      <wp:positionH relativeFrom="column">
                        <wp:posOffset>-103505</wp:posOffset>
                      </wp:positionH>
                      <wp:positionV relativeFrom="paragraph">
                        <wp:posOffset>-77470</wp:posOffset>
                      </wp:positionV>
                      <wp:extent cx="3175" cy="2534920"/>
                      <wp:effectExtent l="19050" t="0" r="53975" b="36830"/>
                      <wp:wrapNone/>
                      <wp:docPr id="29" name="Freihandform: Form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75" cy="2534920"/>
                              </a:xfrm>
                              <a:custGeom>
                                <a:avLst/>
                                <a:gdLst>
                                  <a:gd name="T0" fmla="*/ 0 w 5"/>
                                  <a:gd name="T1" fmla="*/ 0 h 3992"/>
                                  <a:gd name="T2" fmla="*/ 5 w 5"/>
                                  <a:gd name="T3" fmla="*/ 3992 h 3992"/>
                                </a:gdLst>
                                <a:ahLst/>
                                <a:cxnLst>
                                  <a:cxn ang="0">
                                    <a:pos x="T0" y="T1"/>
                                  </a:cxn>
                                  <a:cxn ang="0">
                                    <a:pos x="T2" y="T3"/>
                                  </a:cxn>
                                </a:cxnLst>
                                <a:rect l="0" t="0" r="r" b="b"/>
                                <a:pathLst>
                                  <a:path w="5" h="3992">
                                    <a:moveTo>
                                      <a:pt x="0" y="0"/>
                                    </a:moveTo>
                                    <a:lnTo>
                                      <a:pt x="5" y="3992"/>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8D775DF" id="Freihandform: Form 29"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15pt,-6.1pt,-7.9pt,193.5pt" coordsize="5,3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" filled="f" strokecolor="#bfbfbf" strokeweight="4.5pt">
                      <v:path arrowok="t" o:connecttype="custom" o:connectlocs="0,0;3175,2534920" o:connectangles="0,0"/>
                    </v:polyline>
                  </w:pict>
                </mc:Fallback>
              </mc:AlternateContent>
            </w:r>
            <w:r w:rsidRPr="00D2488A">
              <w:rPr>
                <w:noProof/>
              </w:rPr>
              <w:drawing>
                <wp:inline distT="0" distB="0" distL="0" distR="0">
                  <wp:extent cx="2472690" cy="2282190"/>
                  <wp:effectExtent l="0" t="0" r="3810" b="381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72690" cy="2282190"/>
                          </a:xfrm>
                          <a:prstGeom prst="rect">
                            <a:avLst/>
                          </a:prstGeom>
                          <a:noFill/>
                          <a:ln>
                            <a:noFill/>
                          </a:ln>
                        </pic:spPr>
                      </pic:pic>
                    </a:graphicData>
                  </a:graphic>
                </wp:inline>
              </w:drawing>
            </w:r>
          </w:p>
        </w:tc>
      </w:tr>
    </w:tbl>
    <w:p w:rsidR="002E081C" w:rsidRPr="002E081C" w:rsidRDefault="002E081C" w:rsidP="002E081C">
      <w:pPr>
        <w:tabs>
          <w:tab w:val="left" w:pos="5559"/>
        </w:tabs>
        <w:rPr>
          <w:rFonts w:ascii="Arial" w:hAnsi="Arial" w:cs="Arial"/>
          <w:szCs w:val="18"/>
        </w:rPr>
      </w:pPr>
      <w:r w:rsidRPr="002E081C">
        <w:rPr>
          <w:rFonts w:ascii="Arial" w:hAnsi="Arial" w:cs="Arial"/>
          <w:szCs w:val="18"/>
        </w:rPr>
        <w:t>Abbildung 3</w:t>
      </w:r>
    </w:p>
    <w:p w:rsidR="00694A63" w:rsidRPr="007E6CC0" w:rsidRDefault="00694A63" w:rsidP="002E081C">
      <w:pPr>
        <w:pStyle w:val="IQB-Standard"/>
        <w:rPr>
          <w:sz w:val="22"/>
          <w:szCs w:val="22"/>
        </w:rPr>
      </w:pPr>
    </w:p>
    <w:sectPr w:rsidR="00694A63" w:rsidRPr="007E6CC0"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A6299CEA-A96B-4A24-8679-D09EB1C87DCE}"/>
    <w:embedBold r:id="rId2" w:fontKey="{9E33E23B-63DC-4A8B-B5DE-6F833149C987}"/>
    <w:embedBoldItalic r:id="rId3" w:fontKey="{9D95B853-E313-496E-9CF6-FBACEB68FE6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E081C"/>
    <w:rsid w:val="002F756E"/>
    <w:rsid w:val="00301C9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93813"/>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5537"/>
    <o:shapelayout v:ext="edit">
      <o:idmap v:ext="edit" data="1"/>
    </o:shapelayout>
  </w:shapeDefaults>
  <w:decimalSymbol w:val=","/>
  <w:listSeparator w:val=";"/>
  <w14:docId w14:val="2BD8CE0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01ECAE-81B6-48AC-8AC6-A2E6D7DB5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248</Words>
  <Characters>1586</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2025-06-02T12:05:00Z</dcterms:created>
  <dcterms:modified xsi:type="dcterms:W3CDTF">2025-06-02T13:38:00Z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